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D95600">
        <w:rPr>
          <w:rFonts w:ascii="Times New Roman" w:hAnsi="Times New Roman"/>
          <w:b/>
          <w:sz w:val="20"/>
        </w:rPr>
        <w:t>№89</w:t>
      </w:r>
      <w:r w:rsidR="002B7041" w:rsidRPr="009B132A">
        <w:rPr>
          <w:rFonts w:ascii="Times New Roman" w:hAnsi="Times New Roman"/>
          <w:b/>
          <w:sz w:val="20"/>
        </w:rPr>
        <w:t xml:space="preserve">-э ЗП-ПГЭС от </w:t>
      </w:r>
      <w:r w:rsidR="00D95600">
        <w:rPr>
          <w:rFonts w:ascii="Times New Roman" w:hAnsi="Times New Roman"/>
          <w:b/>
          <w:sz w:val="20"/>
        </w:rPr>
        <w:t>02.08</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D95600">
        <w:rPr>
          <w:b/>
          <w:iCs/>
          <w:sz w:val="20"/>
          <w:szCs w:val="20"/>
          <w:lang w:eastAsia="ru-RU"/>
        </w:rPr>
        <w:t>КТП 63/10</w:t>
      </w:r>
      <w:r w:rsidR="0044485D" w:rsidRPr="009B132A">
        <w:rPr>
          <w:b/>
          <w:iCs/>
          <w:sz w:val="20"/>
          <w:szCs w:val="20"/>
          <w:lang w:eastAsia="ru-RU"/>
        </w:rPr>
        <w:t>/</w:t>
      </w:r>
      <w:r w:rsidR="00D95600">
        <w:rPr>
          <w:b/>
          <w:iCs/>
          <w:sz w:val="20"/>
          <w:szCs w:val="20"/>
          <w:lang w:eastAsia="ru-RU"/>
        </w:rPr>
        <w:t>0,4кВ, с  силовым трансформатором ТМГ 63/10/0,4кВ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BE26C1">
        <w:rPr>
          <w:b/>
          <w:iCs/>
          <w:sz w:val="20"/>
          <w:szCs w:val="20"/>
          <w:lang w:eastAsia="ru-RU"/>
        </w:rPr>
        <w:t xml:space="preserve">КТП </w:t>
      </w:r>
      <w:r w:rsidR="00D95600">
        <w:rPr>
          <w:b/>
          <w:iCs/>
          <w:sz w:val="20"/>
          <w:szCs w:val="20"/>
          <w:lang w:eastAsia="ru-RU"/>
        </w:rPr>
        <w:t>63/10</w:t>
      </w:r>
      <w:r w:rsidR="00AF0D32" w:rsidRPr="009B132A">
        <w:rPr>
          <w:b/>
          <w:iCs/>
          <w:sz w:val="20"/>
          <w:szCs w:val="20"/>
          <w:lang w:eastAsia="ru-RU"/>
        </w:rPr>
        <w:t>/0,4кВ</w:t>
      </w:r>
      <w:r w:rsidR="00D95600">
        <w:rPr>
          <w:b/>
          <w:iCs/>
          <w:sz w:val="20"/>
          <w:szCs w:val="20"/>
          <w:lang w:eastAsia="ru-RU"/>
        </w:rPr>
        <w:t xml:space="preserve"> с силовым</w:t>
      </w:r>
      <w:proofErr w:type="gramEnd"/>
      <w:r w:rsidR="00D95600">
        <w:rPr>
          <w:b/>
          <w:iCs/>
          <w:sz w:val="20"/>
          <w:szCs w:val="20"/>
          <w:lang w:eastAsia="ru-RU"/>
        </w:rPr>
        <w:t xml:space="preserve"> трансформатором ТМГ 63/10/0,4кВ</w:t>
      </w:r>
      <w:r w:rsidR="00AF0D32" w:rsidRPr="009B132A">
        <w:rPr>
          <w:b/>
          <w:iCs/>
          <w:sz w:val="20"/>
          <w:szCs w:val="20"/>
          <w:lang w:eastAsia="ru-RU"/>
        </w:rPr>
        <w:t xml:space="preserve">,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270992">
        <w:rPr>
          <w:iCs/>
          <w:sz w:val="20"/>
          <w:szCs w:val="20"/>
          <w:lang w:eastAsia="ru-RU"/>
        </w:rPr>
        <w:t xml:space="preserve">КТП </w:t>
      </w:r>
      <w:r w:rsidR="00D95600">
        <w:rPr>
          <w:iCs/>
          <w:sz w:val="20"/>
          <w:szCs w:val="20"/>
          <w:lang w:eastAsia="ru-RU"/>
        </w:rPr>
        <w:t>63</w:t>
      </w:r>
      <w:r w:rsidR="00192B2E">
        <w:rPr>
          <w:iCs/>
          <w:sz w:val="20"/>
          <w:szCs w:val="20"/>
          <w:lang w:eastAsia="ru-RU"/>
        </w:rPr>
        <w:t>/</w:t>
      </w:r>
      <w:r w:rsidR="00D95600">
        <w:rPr>
          <w:iCs/>
          <w:sz w:val="20"/>
          <w:szCs w:val="20"/>
          <w:lang w:eastAsia="ru-RU"/>
        </w:rPr>
        <w:t>10</w:t>
      </w:r>
      <w:r w:rsidR="003830BE">
        <w:rPr>
          <w:iCs/>
          <w:sz w:val="20"/>
          <w:szCs w:val="20"/>
          <w:lang w:eastAsia="ru-RU"/>
        </w:rPr>
        <w:t>/0,4кВ</w:t>
      </w:r>
      <w:r w:rsidR="00D95600">
        <w:rPr>
          <w:iCs/>
          <w:sz w:val="20"/>
          <w:szCs w:val="20"/>
          <w:lang w:eastAsia="ru-RU"/>
        </w:rPr>
        <w:t xml:space="preserve"> с силовым трансформатором ТМГ 63/10/0,4кВ</w:t>
      </w:r>
      <w:r w:rsidR="00B536EB" w:rsidRPr="009B132A">
        <w:rPr>
          <w:iCs/>
          <w:sz w:val="20"/>
          <w:szCs w:val="20"/>
          <w:lang w:eastAsia="ru-RU"/>
        </w:rPr>
        <w:t>,</w:t>
      </w:r>
      <w:r w:rsidR="003217FD">
        <w:rPr>
          <w:iCs/>
          <w:sz w:val="20"/>
          <w:szCs w:val="20"/>
          <w:lang w:eastAsia="ru-RU"/>
        </w:rPr>
        <w:t xml:space="preserve"> габариты </w:t>
      </w:r>
      <w:r w:rsidR="00D437F4">
        <w:rPr>
          <w:iCs/>
          <w:sz w:val="20"/>
          <w:szCs w:val="20"/>
          <w:lang w:eastAsia="ru-RU"/>
        </w:rPr>
        <w:t>2400х3800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Пензенская область, г. Пенза,</w:t>
      </w:r>
      <w:r w:rsidR="00D95600">
        <w:rPr>
          <w:rFonts w:ascii="Times New Roman" w:hAnsi="Times New Roman"/>
          <w:bCs/>
          <w:sz w:val="20"/>
          <w:szCs w:val="20"/>
        </w:rPr>
        <w:t xml:space="preserve"> в границах земельного участка с </w:t>
      </w:r>
      <w:proofErr w:type="gramStart"/>
      <w:r w:rsidR="00D95600">
        <w:rPr>
          <w:rFonts w:ascii="Times New Roman" w:hAnsi="Times New Roman"/>
          <w:bCs/>
          <w:sz w:val="20"/>
          <w:szCs w:val="20"/>
        </w:rPr>
        <w:t>кадастровым</w:t>
      </w:r>
      <w:proofErr w:type="gramEnd"/>
      <w:r w:rsidR="00D95600">
        <w:rPr>
          <w:rFonts w:ascii="Times New Roman" w:hAnsi="Times New Roman"/>
          <w:bCs/>
          <w:sz w:val="20"/>
          <w:szCs w:val="20"/>
        </w:rPr>
        <w:t xml:space="preserve"> №58:29:2009007:4375,  ул. Садовое Кольцо, 17А.</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3830B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3830BE" w:rsidRPr="003830B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3830BE" w:rsidRPr="003830B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3830B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3830BE">
          <w:rPr>
            <w:bCs w:val="0"/>
            <w:sz w:val="20"/>
            <w:szCs w:val="20"/>
          </w:rPr>
          <w:t>3.3</w:t>
        </w:r>
      </w:fldSimple>
      <w:r w:rsidR="00DF038E" w:rsidRPr="009B132A">
        <w:rPr>
          <w:bCs w:val="0"/>
          <w:sz w:val="20"/>
          <w:szCs w:val="20"/>
        </w:rPr>
        <w:fldChar w:fldCharType="begin"/>
      </w:r>
      <w:r w:rsidRPr="009B132A">
        <w:rPr>
          <w:bCs w:val="0"/>
          <w:sz w:val="20"/>
          <w:szCs w:val="20"/>
        </w:rPr>
        <w:instrText xml:space="preserve"> REF __RefNumPara__444_922829174 \h  \* MERGEFORMAT </w:instrText>
      </w:r>
      <w:r w:rsidR="00DF038E" w:rsidRPr="009B132A">
        <w:rPr>
          <w:bCs w:val="0"/>
          <w:sz w:val="20"/>
          <w:szCs w:val="20"/>
        </w:rPr>
      </w:r>
      <w:r w:rsidR="00DF038E"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DF038E" w:rsidRPr="009B132A">
        <w:rPr>
          <w:bCs w:val="0"/>
          <w:sz w:val="20"/>
          <w:szCs w:val="20"/>
        </w:rPr>
        <w:fldChar w:fldCharType="begin"/>
      </w:r>
      <w:r w:rsidRPr="009B132A">
        <w:rPr>
          <w:bCs w:val="0"/>
          <w:sz w:val="20"/>
          <w:szCs w:val="20"/>
        </w:rPr>
        <w:instrText xml:space="preserve"> REF __RefNumPara__828_922829174 \h  \* MERGEFORMAT </w:instrText>
      </w:r>
      <w:r w:rsidR="00DF038E" w:rsidRPr="009B132A">
        <w:rPr>
          <w:bCs w:val="0"/>
          <w:sz w:val="20"/>
          <w:szCs w:val="20"/>
        </w:rPr>
      </w:r>
      <w:r w:rsidR="00DF038E" w:rsidRPr="009B132A">
        <w:rPr>
          <w:bCs w:val="0"/>
          <w:sz w:val="20"/>
          <w:szCs w:val="20"/>
        </w:rPr>
        <w:fldChar w:fldCharType="end"/>
      </w:r>
      <w:fldSimple w:instr=" REF _Ref303683883 \r \h  \* MERGEFORMAT ">
        <w:r w:rsidR="003830BE" w:rsidRPr="003830B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3830BE" w:rsidRPr="003830BE">
          <w:rPr>
            <w:bCs w:val="0"/>
            <w:sz w:val="20"/>
            <w:szCs w:val="20"/>
          </w:rPr>
          <w:t>3.6</w:t>
        </w:r>
      </w:fldSimple>
      <w:r w:rsidR="00DF038E" w:rsidRPr="009B132A">
        <w:rPr>
          <w:bCs w:val="0"/>
          <w:sz w:val="20"/>
          <w:szCs w:val="20"/>
        </w:rPr>
        <w:fldChar w:fldCharType="begin"/>
      </w:r>
      <w:r w:rsidRPr="009B132A">
        <w:rPr>
          <w:bCs w:val="0"/>
          <w:sz w:val="20"/>
          <w:szCs w:val="20"/>
        </w:rPr>
        <w:instrText xml:space="preserve"> REF __RefNumPara__832_922829174 \h  \* MERGEFORMAT </w:instrText>
      </w:r>
      <w:r w:rsidR="00DF038E" w:rsidRPr="009B132A">
        <w:rPr>
          <w:bCs w:val="0"/>
          <w:sz w:val="20"/>
          <w:szCs w:val="20"/>
        </w:rPr>
      </w:r>
      <w:r w:rsidR="00DF038E"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3830BE" w:rsidRPr="003830BE">
          <w:rPr>
            <w:bCs w:val="0"/>
            <w:sz w:val="20"/>
            <w:szCs w:val="20"/>
          </w:rPr>
          <w:t>3</w:t>
        </w:r>
      </w:fldSimple>
      <w:r w:rsidR="00DF038E" w:rsidRPr="009B132A">
        <w:rPr>
          <w:bCs w:val="0"/>
          <w:sz w:val="20"/>
          <w:szCs w:val="20"/>
        </w:rPr>
        <w:fldChar w:fldCharType="begin"/>
      </w:r>
      <w:r w:rsidRPr="009B132A">
        <w:rPr>
          <w:bCs w:val="0"/>
          <w:sz w:val="20"/>
          <w:szCs w:val="20"/>
        </w:rPr>
        <w:instrText xml:space="preserve"> REF __RefNumPara__836_922829174 \h  \* MERGEFORMAT </w:instrText>
      </w:r>
      <w:r w:rsidR="00DF038E" w:rsidRPr="009B132A">
        <w:rPr>
          <w:bCs w:val="0"/>
          <w:sz w:val="20"/>
          <w:szCs w:val="20"/>
        </w:rPr>
      </w:r>
      <w:r w:rsidR="00DF038E"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3830BE" w:rsidRPr="003830B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3830B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E1341B">
        <w:rPr>
          <w:b/>
          <w:sz w:val="20"/>
          <w:szCs w:val="20"/>
        </w:rPr>
        <w:t>700 000,00</w:t>
      </w:r>
      <w:r w:rsidR="00D6083B" w:rsidRPr="009B132A">
        <w:rPr>
          <w:b/>
          <w:sz w:val="20"/>
          <w:szCs w:val="20"/>
        </w:rPr>
        <w:t xml:space="preserve"> </w:t>
      </w:r>
      <w:r w:rsidRPr="009B132A">
        <w:rPr>
          <w:sz w:val="20"/>
          <w:szCs w:val="20"/>
        </w:rPr>
        <w:t>руб. с НДС</w:t>
      </w:r>
      <w:r w:rsidR="00805372" w:rsidRPr="009B132A">
        <w:rPr>
          <w:sz w:val="20"/>
          <w:szCs w:val="20"/>
        </w:rPr>
        <w:t>/</w:t>
      </w:r>
      <w:r w:rsidR="00E1341B">
        <w:rPr>
          <w:b/>
          <w:sz w:val="20"/>
          <w:szCs w:val="20"/>
        </w:rPr>
        <w:t>583 333,33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E1341B">
        <w:rPr>
          <w:b/>
          <w:bCs w:val="0"/>
          <w:i/>
          <w:sz w:val="20"/>
          <w:szCs w:val="20"/>
          <w:u w:val="single"/>
        </w:rPr>
        <w:t>04</w:t>
      </w:r>
      <w:r w:rsidR="00117F39" w:rsidRPr="009B132A">
        <w:rPr>
          <w:b/>
          <w:bCs w:val="0"/>
          <w:i/>
          <w:sz w:val="20"/>
          <w:szCs w:val="20"/>
          <w:u w:val="single"/>
        </w:rPr>
        <w:t>.</w:t>
      </w:r>
      <w:r w:rsidR="00E1341B">
        <w:rPr>
          <w:b/>
          <w:bCs w:val="0"/>
          <w:i/>
          <w:sz w:val="20"/>
          <w:szCs w:val="20"/>
          <w:u w:val="single"/>
        </w:rPr>
        <w:t>08</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E1341B">
        <w:rPr>
          <w:b/>
          <w:bCs w:val="0"/>
          <w:i/>
          <w:sz w:val="20"/>
          <w:szCs w:val="20"/>
          <w:u w:val="single"/>
        </w:rPr>
        <w:t>16</w:t>
      </w:r>
      <w:r w:rsidR="005D2AF3" w:rsidRPr="009B132A">
        <w:rPr>
          <w:b/>
          <w:bCs w:val="0"/>
          <w:i/>
          <w:sz w:val="20"/>
          <w:szCs w:val="20"/>
          <w:u w:val="single"/>
        </w:rPr>
        <w:t>.</w:t>
      </w:r>
      <w:r w:rsidR="008523DD">
        <w:rPr>
          <w:b/>
          <w:bCs w:val="0"/>
          <w:i/>
          <w:sz w:val="20"/>
          <w:szCs w:val="20"/>
          <w:u w:val="single"/>
        </w:rPr>
        <w:t>0</w:t>
      </w:r>
      <w:r w:rsidR="00E1341B">
        <w:rPr>
          <w:b/>
          <w:bCs w:val="0"/>
          <w:i/>
          <w:sz w:val="20"/>
          <w:szCs w:val="20"/>
          <w:u w:val="single"/>
        </w:rPr>
        <w:t>8</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3830B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D437F4">
        <w:rPr>
          <w:b/>
          <w:bCs w:val="0"/>
          <w:i/>
          <w:sz w:val="20"/>
          <w:szCs w:val="20"/>
          <w:u w:val="single"/>
        </w:rPr>
        <w:t>1</w:t>
      </w:r>
      <w:r w:rsidR="00E1341B">
        <w:rPr>
          <w:b/>
          <w:bCs w:val="0"/>
          <w:i/>
          <w:sz w:val="20"/>
          <w:szCs w:val="20"/>
          <w:u w:val="single"/>
        </w:rPr>
        <w:t>8</w:t>
      </w:r>
      <w:r w:rsidR="008523DD">
        <w:rPr>
          <w:b/>
          <w:bCs w:val="0"/>
          <w:i/>
          <w:sz w:val="20"/>
          <w:szCs w:val="20"/>
          <w:u w:val="single"/>
        </w:rPr>
        <w:t>.0</w:t>
      </w:r>
      <w:r w:rsidR="00E1341B">
        <w:rPr>
          <w:b/>
          <w:bCs w:val="0"/>
          <w:i/>
          <w:sz w:val="20"/>
          <w:szCs w:val="20"/>
          <w:u w:val="single"/>
        </w:rPr>
        <w:t>8</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D437F4">
        <w:rPr>
          <w:b/>
          <w:bCs w:val="0"/>
          <w:i/>
          <w:sz w:val="20"/>
          <w:szCs w:val="20"/>
          <w:u w:val="single"/>
          <w:lang w:eastAsia="ru-RU"/>
        </w:rPr>
        <w:t>1</w:t>
      </w:r>
      <w:r w:rsidR="00E1341B">
        <w:rPr>
          <w:b/>
          <w:bCs w:val="0"/>
          <w:i/>
          <w:sz w:val="20"/>
          <w:szCs w:val="20"/>
          <w:u w:val="single"/>
          <w:lang w:eastAsia="ru-RU"/>
        </w:rPr>
        <w:t>8</w:t>
      </w:r>
      <w:r w:rsidR="008523DD">
        <w:rPr>
          <w:b/>
          <w:bCs w:val="0"/>
          <w:i/>
          <w:sz w:val="20"/>
          <w:szCs w:val="20"/>
          <w:u w:val="single"/>
          <w:lang w:eastAsia="ru-RU"/>
        </w:rPr>
        <w:t>.0</w:t>
      </w:r>
      <w:r w:rsidR="00E1341B">
        <w:rPr>
          <w:b/>
          <w:bCs w:val="0"/>
          <w:i/>
          <w:sz w:val="20"/>
          <w:szCs w:val="20"/>
          <w:u w:val="single"/>
          <w:lang w:eastAsia="ru-RU"/>
        </w:rPr>
        <w:t>8</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423554">
            <w:pPr>
              <w:tabs>
                <w:tab w:val="left" w:pos="960"/>
              </w:tabs>
              <w:spacing w:line="240" w:lineRule="auto"/>
              <w:ind w:firstLine="0"/>
              <w:jc w:val="center"/>
              <w:rPr>
                <w:b/>
                <w:sz w:val="20"/>
                <w:szCs w:val="20"/>
              </w:rPr>
            </w:pPr>
            <w:r w:rsidRPr="009B132A">
              <w:rPr>
                <w:b/>
                <w:sz w:val="20"/>
                <w:szCs w:val="20"/>
              </w:rPr>
              <w:t>0,</w:t>
            </w:r>
            <w:r w:rsidR="00423554">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w:t>
            </w:r>
            <w:r w:rsidR="00423554">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w:t>
      </w:r>
      <w:r w:rsidRPr="009B132A">
        <w:rPr>
          <w:sz w:val="20"/>
          <w:szCs w:val="20"/>
        </w:rPr>
        <w:lastRenderedPageBreak/>
        <w:t xml:space="preserve">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E1341B">
        <w:rPr>
          <w:b/>
          <w:i/>
          <w:sz w:val="20"/>
          <w:szCs w:val="20"/>
          <w:u w:val="single"/>
          <w:lang w:eastAsia="ru-RU"/>
        </w:rPr>
        <w:t>25</w:t>
      </w:r>
      <w:r w:rsidR="00542667">
        <w:rPr>
          <w:b/>
          <w:i/>
          <w:sz w:val="20"/>
          <w:szCs w:val="20"/>
          <w:u w:val="single"/>
          <w:lang w:eastAsia="ru-RU"/>
        </w:rPr>
        <w:t>.0</w:t>
      </w:r>
      <w:r w:rsidR="00E1341B">
        <w:rPr>
          <w:b/>
          <w:i/>
          <w:sz w:val="20"/>
          <w:szCs w:val="20"/>
          <w:u w:val="single"/>
          <w:lang w:eastAsia="ru-RU"/>
        </w:rPr>
        <w:t>8</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E1341B">
        <w:rPr>
          <w:b/>
          <w:i/>
          <w:sz w:val="20"/>
          <w:szCs w:val="20"/>
          <w:u w:val="single"/>
          <w:lang w:eastAsia="ru-RU"/>
        </w:rPr>
        <w:t>01.09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w:t>
      </w:r>
      <w:r w:rsidRPr="009B132A">
        <w:rPr>
          <w:sz w:val="20"/>
          <w:szCs w:val="20"/>
          <w:lang w:eastAsia="ru-RU"/>
        </w:rPr>
        <w:lastRenderedPageBreak/>
        <w:t xml:space="preserve">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1341B">
        <w:rPr>
          <w:b/>
          <w:i/>
          <w:sz w:val="20"/>
          <w:szCs w:val="20"/>
          <w:u w:val="single"/>
          <w:lang w:eastAsia="ru-RU"/>
        </w:rPr>
        <w:t>08.09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w:t>
      </w:r>
      <w:proofErr w:type="spellStart"/>
      <w:r w:rsidRPr="009B132A">
        <w:rPr>
          <w:sz w:val="20"/>
          <w:szCs w:val="20"/>
        </w:rPr>
        <w:t>Лагуткин</w:t>
      </w:r>
      <w:proofErr w:type="spellEnd"/>
      <w:r w:rsidRPr="009B132A">
        <w:rPr>
          <w:sz w:val="20"/>
          <w:szCs w:val="20"/>
        </w:rPr>
        <w:t xml:space="preserve">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DF038E"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DF038E" w:rsidRPr="007E5C4C">
        <w:rPr>
          <w:rFonts w:ascii="Times New Roman" w:hAnsi="Times New Roman"/>
          <w:sz w:val="20"/>
          <w:szCs w:val="20"/>
        </w:rPr>
        <w:fldChar w:fldCharType="separate"/>
      </w:r>
      <w:r w:rsidR="003830BE">
        <w:rPr>
          <w:rFonts w:ascii="Times New Roman" w:hAnsi="Times New Roman"/>
          <w:noProof/>
          <w:sz w:val="20"/>
          <w:szCs w:val="20"/>
        </w:rPr>
        <w:t>1</w:t>
      </w:r>
      <w:r w:rsidR="00DF038E"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DF038E"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DF038E" w:rsidRPr="009F0E6A">
        <w:rPr>
          <w:bCs w:val="0"/>
          <w:sz w:val="20"/>
          <w:szCs w:val="20"/>
          <w:lang w:eastAsia="ru-RU"/>
        </w:rPr>
        <w:fldChar w:fldCharType="separate"/>
      </w:r>
      <w:r w:rsidR="003830BE">
        <w:rPr>
          <w:bCs w:val="0"/>
          <w:noProof/>
          <w:sz w:val="20"/>
          <w:szCs w:val="20"/>
          <w:lang w:eastAsia="ru-RU"/>
        </w:rPr>
        <w:t>1</w:t>
      </w:r>
      <w:r w:rsidR="00DF038E"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00" w:rsidRDefault="00D95600">
      <w:pPr>
        <w:spacing w:line="240" w:lineRule="auto"/>
      </w:pPr>
      <w:r>
        <w:separator/>
      </w:r>
    </w:p>
  </w:endnote>
  <w:endnote w:type="continuationSeparator" w:id="0">
    <w:p w:rsidR="00D95600" w:rsidRDefault="00D956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Default="00D95600" w:rsidP="00A662DE">
    <w:pPr>
      <w:pStyle w:val="aff7"/>
      <w:rPr>
        <w:szCs w:val="18"/>
      </w:rPr>
    </w:pPr>
  </w:p>
  <w:p w:rsidR="00D95600" w:rsidRPr="00441775" w:rsidRDefault="00D95600"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Default="00D9560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Pr="0099627D" w:rsidRDefault="00D95600"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Default="00D956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00" w:rsidRDefault="00D95600">
      <w:pPr>
        <w:spacing w:line="240" w:lineRule="auto"/>
      </w:pPr>
      <w:r>
        <w:separator/>
      </w:r>
    </w:p>
  </w:footnote>
  <w:footnote w:type="continuationSeparator" w:id="0">
    <w:p w:rsidR="00D95600" w:rsidRDefault="00D956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Default="00D956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Pr="00930031" w:rsidRDefault="00D95600"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00" w:rsidRDefault="00D956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734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3554"/>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3D8B"/>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5600"/>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38E"/>
    <w:rsid w:val="00DF0E28"/>
    <w:rsid w:val="00DF2718"/>
    <w:rsid w:val="00DF3778"/>
    <w:rsid w:val="00DF4DF4"/>
    <w:rsid w:val="00DF639D"/>
    <w:rsid w:val="00DF76D5"/>
    <w:rsid w:val="00E0252B"/>
    <w:rsid w:val="00E03690"/>
    <w:rsid w:val="00E0760F"/>
    <w:rsid w:val="00E10C7E"/>
    <w:rsid w:val="00E1124E"/>
    <w:rsid w:val="00E11A58"/>
    <w:rsid w:val="00E1205F"/>
    <w:rsid w:val="00E1341B"/>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221CF-64C2-48D6-A695-9856DF03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13826</Words>
  <Characters>78814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92456</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2022-03-17T10:49:00Z</cp:lastPrinted>
  <dcterms:created xsi:type="dcterms:W3CDTF">2022-08-02T11:59:00Z</dcterms:created>
  <dcterms:modified xsi:type="dcterms:W3CDTF">2022-08-02T12:42:00Z</dcterms:modified>
</cp:coreProperties>
</file>